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BD26B" w14:textId="4ACB56DD" w:rsidR="000F2D80" w:rsidRPr="00A2750F" w:rsidRDefault="000F2D80" w:rsidP="1D3CEB8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hAnsi="Arial" w:cs="Arial"/>
          <w:sz w:val="24"/>
          <w:szCs w:val="24"/>
        </w:rPr>
      </w:pPr>
      <w:r w:rsidRPr="00CB6478">
        <w:rPr>
          <w:rFonts w:ascii="Arial" w:hAnsi="Arial" w:cs="Arial"/>
          <w:sz w:val="24"/>
          <w:szCs w:val="24"/>
        </w:rPr>
        <w:t>TSG-RAN Wor</w:t>
      </w:r>
      <w:r w:rsidR="00CD5405" w:rsidRPr="00CB6478">
        <w:rPr>
          <w:rFonts w:ascii="Arial" w:hAnsi="Arial" w:cs="Arial"/>
          <w:sz w:val="24"/>
          <w:szCs w:val="24"/>
        </w:rPr>
        <w:t xml:space="preserve">king Group 4 (Radio) meeting </w:t>
      </w:r>
      <w:r w:rsidR="00CD5405" w:rsidRPr="00EC1163">
        <w:rPr>
          <w:rFonts w:ascii="Arial" w:hAnsi="Arial" w:cs="Arial"/>
          <w:sz w:val="24"/>
          <w:szCs w:val="24"/>
        </w:rPr>
        <w:t>#</w:t>
      </w:r>
      <w:r w:rsidR="00EC1163" w:rsidRPr="00EC1163">
        <w:rPr>
          <w:rFonts w:ascii="Arial" w:hAnsi="Arial" w:cs="Arial"/>
          <w:sz w:val="24"/>
          <w:szCs w:val="24"/>
        </w:rPr>
        <w:t>86</w:t>
      </w:r>
      <w:r>
        <w:rPr>
          <w:rFonts w:ascii="Arial" w:hAnsi="Arial" w:cs="Arial"/>
          <w:i/>
          <w:sz w:val="24"/>
        </w:rPr>
        <w:tab/>
      </w:r>
      <w:r w:rsidRPr="00CB6478">
        <w:rPr>
          <w:rFonts w:ascii="Arial" w:hAnsi="Arial" w:cs="Arial"/>
          <w:sz w:val="24"/>
          <w:szCs w:val="24"/>
        </w:rPr>
        <w:t>R4-</w:t>
      </w:r>
      <w:r w:rsidR="000E7C28">
        <w:rPr>
          <w:rFonts w:ascii="Arial" w:hAnsi="Arial" w:cs="Arial"/>
          <w:sz w:val="24"/>
          <w:szCs w:val="24"/>
        </w:rPr>
        <w:t>1802468</w:t>
      </w:r>
    </w:p>
    <w:p w14:paraId="7846FBAF" w14:textId="77777777" w:rsidR="000E7C28" w:rsidRDefault="000E7C28" w:rsidP="000E7C28">
      <w:pPr>
        <w:pStyle w:val="NormalWeb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Athens, Greece, 26th February – 2nd March 2018 </w:t>
      </w:r>
    </w:p>
    <w:p w14:paraId="6D9232D3" w14:textId="77777777" w:rsidR="000F2D80" w:rsidRDefault="000F2D80">
      <w:pPr>
        <w:spacing w:after="120"/>
        <w:ind w:left="1985" w:hanging="1985"/>
        <w:rPr>
          <w:rFonts w:ascii="Arial" w:hAnsi="Arial" w:cs="Arial"/>
          <w:b/>
        </w:rPr>
      </w:pPr>
    </w:p>
    <w:p w14:paraId="1CB4C004" w14:textId="77777777" w:rsidR="000F2D80" w:rsidRPr="00A2750F" w:rsidRDefault="000F2D80" w:rsidP="1D3CEB8C">
      <w:pPr>
        <w:spacing w:after="120"/>
        <w:ind w:left="1985" w:hanging="1985"/>
        <w:rPr>
          <w:rFonts w:ascii="Arial" w:hAnsi="Arial" w:cs="Arial"/>
        </w:rPr>
      </w:pPr>
      <w:r w:rsidRPr="00CB6478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</w:rPr>
        <w:tab/>
      </w:r>
      <w:r w:rsidR="00CD5405" w:rsidRPr="00CB6478">
        <w:rPr>
          <w:rFonts w:ascii="Arial" w:hAnsi="Arial" w:cs="Arial"/>
        </w:rPr>
        <w:t>Ericsson</w:t>
      </w:r>
    </w:p>
    <w:p w14:paraId="5D371A90" w14:textId="26D93A16" w:rsidR="00C071D3" w:rsidRPr="00A2750F" w:rsidRDefault="000F2D80" w:rsidP="1D3CEB8C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EC1163" w:rsidRPr="00362A9B">
        <w:rPr>
          <w:rFonts w:ascii="Arial" w:hAnsi="Arial" w:cs="Arial"/>
          <w:lang w:val="en-US"/>
        </w:rPr>
        <w:t>Occupied BW test proposal for FR2</w:t>
      </w:r>
    </w:p>
    <w:p w14:paraId="26030099" w14:textId="0F594C1D" w:rsidR="000F2D80" w:rsidRPr="004B75DA" w:rsidRDefault="000F2D80" w:rsidP="1D3CEB8C">
      <w:pPr>
        <w:spacing w:after="120"/>
        <w:ind w:left="1985" w:hanging="1985"/>
        <w:rPr>
          <w:rFonts w:ascii="Arial" w:hAnsi="Arial" w:cs="Arial"/>
          <w:color w:val="FF0000"/>
          <w:lang w:val="en-US"/>
        </w:rPr>
      </w:pPr>
      <w:r w:rsidRPr="00A2750F">
        <w:rPr>
          <w:rFonts w:ascii="Arial" w:hAnsi="Arial" w:cs="Arial"/>
          <w:b/>
          <w:bCs/>
          <w:lang w:val="en-US"/>
        </w:rPr>
        <w:t>Agenda item:</w:t>
      </w:r>
      <w:r w:rsidR="00EB5CAF">
        <w:rPr>
          <w:rFonts w:ascii="Arial" w:hAnsi="Arial" w:cs="Arial"/>
          <w:b/>
          <w:lang w:val="en-US"/>
        </w:rPr>
        <w:tab/>
      </w:r>
      <w:r w:rsidR="000E7C28" w:rsidRPr="00362A9B">
        <w:rPr>
          <w:rFonts w:ascii="Arial" w:hAnsi="Arial" w:cs="Arial"/>
          <w:lang w:val="en-US"/>
        </w:rPr>
        <w:t>7.7.3</w:t>
      </w:r>
    </w:p>
    <w:p w14:paraId="5C3AB1D7" w14:textId="6378060F" w:rsidR="000F2D80" w:rsidRPr="00EC1163" w:rsidRDefault="000F2D80" w:rsidP="1D3CEB8C">
      <w:pPr>
        <w:spacing w:after="120"/>
        <w:ind w:left="1985" w:hanging="1985"/>
        <w:rPr>
          <w:rFonts w:ascii="Arial" w:hAnsi="Arial" w:cs="Arial"/>
        </w:rPr>
      </w:pPr>
      <w:r w:rsidRPr="00CB6478"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</w:rPr>
        <w:tab/>
      </w:r>
      <w:r w:rsidR="000E7C28">
        <w:rPr>
          <w:rFonts w:ascii="Arial" w:hAnsi="Arial" w:cs="Arial"/>
        </w:rPr>
        <w:t>Approval</w:t>
      </w:r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7B92BC28" w14:textId="77777777" w:rsidR="000F2D80" w:rsidRDefault="000F2D80">
      <w:pPr>
        <w:rPr>
          <w:rFonts w:ascii="Arial" w:hAnsi="Arial" w:cs="Arial"/>
        </w:rPr>
      </w:pPr>
    </w:p>
    <w:p w14:paraId="47494650" w14:textId="77777777" w:rsidR="001F5EA2" w:rsidRPr="001F5EA2" w:rsidRDefault="1D3CEB8C" w:rsidP="001F5EA2">
      <w:pPr>
        <w:pStyle w:val="Heading1"/>
        <w:numPr>
          <w:ilvl w:val="0"/>
          <w:numId w:val="4"/>
        </w:numPr>
        <w:ind w:hanging="720"/>
      </w:pPr>
      <w:r>
        <w:t>Introduction</w:t>
      </w:r>
    </w:p>
    <w:p w14:paraId="011C46F9" w14:textId="5C423472" w:rsidR="00A409E0" w:rsidRDefault="00A409E0" w:rsidP="0004213C">
      <w:pPr>
        <w:pBdr>
          <w:bottom w:val="single" w:sz="4" w:space="1" w:color="auto"/>
        </w:pBdr>
      </w:pPr>
      <w:r>
        <w:t>In [</w:t>
      </w:r>
      <w:r w:rsidR="00D94DC2">
        <w:t>1</w:t>
      </w:r>
      <w:r>
        <w:t>]</w:t>
      </w:r>
      <w:r w:rsidR="00882F02">
        <w:t>, the discussion on FR1and FR2 synergies in relation to test procedures is further elaborated</w:t>
      </w:r>
      <w:r w:rsidR="00D94DC2">
        <w:t>. [1] also proposes</w:t>
      </w:r>
      <w:r>
        <w:t xml:space="preserve"> adopt</w:t>
      </w:r>
      <w:r w:rsidR="00882F02">
        <w:t>ion of</w:t>
      </w:r>
      <w:r>
        <w:t xml:space="preserve"> same test procedures developed for eAAS </w:t>
      </w:r>
      <w:r w:rsidR="008D7225">
        <w:t xml:space="preserve">can be </w:t>
      </w:r>
      <w:r w:rsidR="00362A9B">
        <w:t>re</w:t>
      </w:r>
      <w:r w:rsidR="008D7225">
        <w:t xml:space="preserve">used </w:t>
      </w:r>
      <w:r>
        <w:t>for NR</w:t>
      </w:r>
      <w:r w:rsidR="00362A9B">
        <w:t xml:space="preserve"> FR1 with some NR adaptations,</w:t>
      </w:r>
      <w:r>
        <w:t xml:space="preserve"> </w:t>
      </w:r>
      <w:r w:rsidR="00D94DC2">
        <w:t xml:space="preserve">as well as </w:t>
      </w:r>
      <w:r w:rsidR="00882F02">
        <w:t xml:space="preserve">to the extent possible </w:t>
      </w:r>
      <w:r w:rsidR="00D94DC2">
        <w:t>reuse FR1 test procedures</w:t>
      </w:r>
      <w:r w:rsidR="00882F02">
        <w:t xml:space="preserve"> </w:t>
      </w:r>
      <w:r w:rsidR="00362A9B">
        <w:t xml:space="preserve">for FR2 </w:t>
      </w:r>
      <w:r w:rsidR="00882F02">
        <w:t>where</w:t>
      </w:r>
      <w:r w:rsidR="00CC6C18">
        <w:t xml:space="preserve"> no</w:t>
      </w:r>
      <w:r>
        <w:t xml:space="preserve"> alterations between 1-O and 2-O test procedures </w:t>
      </w:r>
      <w:r w:rsidR="00882F02">
        <w:t>exist</w:t>
      </w:r>
      <w:r w:rsidR="002B18B8">
        <w:t xml:space="preserve"> </w:t>
      </w:r>
      <w:r w:rsidR="00362A9B">
        <w:t>(</w:t>
      </w:r>
      <w:r w:rsidR="00050FE9">
        <w:t>o</w:t>
      </w:r>
      <w:r w:rsidR="00CC6C18">
        <w:t>therwise</w:t>
      </w:r>
      <w:r w:rsidR="00882F02">
        <w:t>, FR2 cases should be treated separately</w:t>
      </w:r>
      <w:r w:rsidR="00362A9B">
        <w:t>)</w:t>
      </w:r>
      <w:r w:rsidR="00882F02">
        <w:t>.</w:t>
      </w:r>
    </w:p>
    <w:p w14:paraId="078821FB" w14:textId="77777777" w:rsidR="00CC6C18" w:rsidRDefault="00CC6C18" w:rsidP="00CC6C18">
      <w:pPr>
        <w:pBdr>
          <w:bottom w:val="single" w:sz="4" w:space="1" w:color="auto"/>
        </w:pBdr>
      </w:pPr>
    </w:p>
    <w:p w14:paraId="639FF4AE" w14:textId="2B6ED64F" w:rsidR="00296C4D" w:rsidRPr="006C68CB" w:rsidRDefault="00882F02" w:rsidP="00A409E0">
      <w:pPr>
        <w:pBdr>
          <w:bottom w:val="single" w:sz="4" w:space="1" w:color="auto"/>
        </w:pBdr>
      </w:pPr>
      <w:r>
        <w:rPr>
          <w:lang w:val="en-US"/>
        </w:rPr>
        <w:t>In this paper,</w:t>
      </w:r>
      <w:r w:rsidRPr="1D3CEB8C">
        <w:rPr>
          <w:lang w:val="en-US"/>
        </w:rPr>
        <w:t xml:space="preserve"> </w:t>
      </w:r>
      <w:r w:rsidR="00CC6C18">
        <w:rPr>
          <w:lang w:val="en-US"/>
        </w:rPr>
        <w:t xml:space="preserve">the </w:t>
      </w:r>
      <w:r>
        <w:t xml:space="preserve">test method for </w:t>
      </w:r>
      <w:r w:rsidR="00CC6C18">
        <w:t>o</w:t>
      </w:r>
      <w:r>
        <w:t xml:space="preserve">ccupied BW for FR2 measurement in a Compact Antenna Test Range (CATR) is </w:t>
      </w:r>
      <w:r w:rsidR="00CC6C18">
        <w:t>discussed.</w:t>
      </w:r>
    </w:p>
    <w:p w14:paraId="235C1550" w14:textId="77777777" w:rsidR="00CF44F4" w:rsidRPr="00CF44F4" w:rsidRDefault="00CF44F4" w:rsidP="00172F1C">
      <w:pPr>
        <w:pBdr>
          <w:bottom w:val="single" w:sz="4" w:space="1" w:color="auto"/>
        </w:pBdr>
      </w:pPr>
    </w:p>
    <w:p w14:paraId="1EAA537D" w14:textId="77777777" w:rsidR="00172F1C" w:rsidRDefault="00172F1C" w:rsidP="00172F1C">
      <w:pPr>
        <w:rPr>
          <w:rFonts w:ascii="Arial" w:hAnsi="Arial" w:cs="Arial"/>
        </w:rPr>
      </w:pPr>
    </w:p>
    <w:p w14:paraId="31526275" w14:textId="42B70489" w:rsidR="009262F3" w:rsidRDefault="1D3CEB8C" w:rsidP="009262F3">
      <w:pPr>
        <w:pStyle w:val="Heading1"/>
        <w:numPr>
          <w:ilvl w:val="0"/>
          <w:numId w:val="4"/>
        </w:numPr>
        <w:ind w:hanging="720"/>
      </w:pPr>
      <w:r>
        <w:t>Discussion</w:t>
      </w:r>
    </w:p>
    <w:p w14:paraId="49ABE843" w14:textId="6592D455" w:rsidR="00B56087" w:rsidRDefault="00CC6C18" w:rsidP="00B56087">
      <w:pPr>
        <w:overflowPunct w:val="0"/>
        <w:autoSpaceDE w:val="0"/>
        <w:autoSpaceDN w:val="0"/>
        <w:adjustRightInd w:val="0"/>
        <w:textAlignment w:val="baseline"/>
      </w:pPr>
      <w:r w:rsidRPr="00341700">
        <w:rPr>
          <w:rFonts w:cs="v4.2.0"/>
        </w:rPr>
        <w:t>The occupied bandwidth</w:t>
      </w:r>
      <w:r>
        <w:rPr>
          <w:rFonts w:cs="v4.2.0"/>
        </w:rPr>
        <w:t xml:space="preserve"> regardless if it is conducted or OTA</w:t>
      </w:r>
      <w:r w:rsidRPr="00341700">
        <w:rPr>
          <w:rFonts w:cs="v4.2.0"/>
        </w:rPr>
        <w:t xml:space="preserve"> is the width of a frequency band such that, below the lower and above the upper frequency limits, the mean powers emitted are each equal to a specified percentage </w:t>
      </w:r>
      <w:r w:rsidRPr="00341700">
        <w:rPr>
          <w:rFonts w:ascii="Symbol" w:hAnsi="Symbol" w:cs="v4.2.0"/>
        </w:rPr>
        <w:t></w:t>
      </w:r>
      <w:r w:rsidRPr="00341700">
        <w:rPr>
          <w:rFonts w:cs="v4.2.0"/>
        </w:rPr>
        <w:t>/2 of the total mean transmitted power.</w:t>
      </w:r>
    </w:p>
    <w:p w14:paraId="7DDE342F" w14:textId="5084E563" w:rsidR="00B56087" w:rsidRDefault="00B56087" w:rsidP="00D55EB9">
      <w:pPr>
        <w:overflowPunct w:val="0"/>
        <w:autoSpaceDE w:val="0"/>
        <w:autoSpaceDN w:val="0"/>
        <w:adjustRightInd w:val="0"/>
        <w:textAlignment w:val="baseline"/>
      </w:pPr>
      <w:bookmarkStart w:id="0" w:name="_Toc496014803"/>
    </w:p>
    <w:p w14:paraId="1560D99D" w14:textId="26455746" w:rsidR="00B56087" w:rsidRDefault="1D3CEB8C" w:rsidP="00D55EB9">
      <w:pPr>
        <w:overflowPunct w:val="0"/>
        <w:autoSpaceDE w:val="0"/>
        <w:autoSpaceDN w:val="0"/>
        <w:adjustRightInd w:val="0"/>
        <w:textAlignment w:val="baseline"/>
      </w:pPr>
      <w:r>
        <w:t xml:space="preserve">For OTA occupied bandwidth, the beam characteristics are not </w:t>
      </w:r>
      <w:r w:rsidR="00CC6C18">
        <w:t>essential as the same level would be applicable regardless of the point in space</w:t>
      </w:r>
      <w:r>
        <w:t xml:space="preserve">. The requirement should however cover the </w:t>
      </w:r>
      <w:r w:rsidR="00882F02">
        <w:t xml:space="preserve">cases </w:t>
      </w:r>
      <w:r>
        <w:t>the system is operating at the maximum declared rated total radiated power.</w:t>
      </w:r>
    </w:p>
    <w:p w14:paraId="252908E8" w14:textId="7A74CD6F" w:rsidR="00B56087" w:rsidRDefault="00B56087" w:rsidP="00D55EB9">
      <w:pPr>
        <w:overflowPunct w:val="0"/>
        <w:autoSpaceDE w:val="0"/>
        <w:autoSpaceDN w:val="0"/>
        <w:adjustRightInd w:val="0"/>
        <w:textAlignment w:val="baseline"/>
      </w:pPr>
    </w:p>
    <w:p w14:paraId="2D1351D5" w14:textId="1AC34EDF" w:rsidR="00B56087" w:rsidRDefault="1D3CEB8C" w:rsidP="1D3CEB8C">
      <w:pPr>
        <w:pStyle w:val="BodyText"/>
      </w:pPr>
      <w:r>
        <w:t xml:space="preserve">As the </w:t>
      </w:r>
      <w:r w:rsidR="00315519">
        <w:t xml:space="preserve">OTA </w:t>
      </w:r>
      <w:r>
        <w:t xml:space="preserve">occupied bandwidth is a </w:t>
      </w:r>
      <w:r w:rsidR="00315519">
        <w:t xml:space="preserve">property </w:t>
      </w:r>
      <w:r>
        <w:t>of the wanted signal</w:t>
      </w:r>
      <w:r w:rsidR="00CC6C18">
        <w:t xml:space="preserve"> </w:t>
      </w:r>
      <w:r>
        <w:t xml:space="preserve">in </w:t>
      </w:r>
      <w:r w:rsidR="00315519">
        <w:t xml:space="preserve">any point in </w:t>
      </w:r>
      <w:r>
        <w:t>space</w:t>
      </w:r>
      <w:r w:rsidR="00CC6C18">
        <w:t>, it</w:t>
      </w:r>
      <w:r>
        <w:t xml:space="preserve"> can be characterized </w:t>
      </w:r>
      <w:r w:rsidR="00315519">
        <w:t xml:space="preserve">either </w:t>
      </w:r>
      <w:r>
        <w:t>as a directional requirement or</w:t>
      </w:r>
      <w:bookmarkStart w:id="1" w:name="_GoBack"/>
      <w:bookmarkEnd w:id="1"/>
      <w:r>
        <w:t xml:space="preserve"> a </w:t>
      </w:r>
      <w:r w:rsidRPr="00CC6C18">
        <w:rPr>
          <w:iCs/>
        </w:rPr>
        <w:t>TRP requirement</w:t>
      </w:r>
      <w:r>
        <w:t>. As performance of the wanted signal is generally characterized on the main beam as a directional requirement</w:t>
      </w:r>
      <w:r w:rsidR="00F06237">
        <w:t>,</w:t>
      </w:r>
      <w:r>
        <w:t xml:space="preserve"> the same </w:t>
      </w:r>
      <w:r w:rsidR="00CC6C18">
        <w:t>direction</w:t>
      </w:r>
      <w:r>
        <w:t xml:space="preserve"> </w:t>
      </w:r>
      <w:r w:rsidR="00CC6C18">
        <w:t xml:space="preserve">can preferably be used </w:t>
      </w:r>
      <w:r>
        <w:t>for occupied bandwidth</w:t>
      </w:r>
      <w:r w:rsidR="00315519">
        <w:t xml:space="preserve"> regardless if the requirement is applicable for FR1 and FR2</w:t>
      </w:r>
      <w:r w:rsidR="00CC6C18">
        <w:t xml:space="preserve"> and thus same test method can be used for FR1 and FR2.</w:t>
      </w:r>
    </w:p>
    <w:p w14:paraId="51B580B3" w14:textId="53546D24" w:rsidR="00CC6C18" w:rsidRDefault="00CC6C18" w:rsidP="1D3CEB8C">
      <w:pPr>
        <w:pStyle w:val="BodyText"/>
      </w:pPr>
      <w:r>
        <w:t>We thus would propose:</w:t>
      </w:r>
    </w:p>
    <w:p w14:paraId="0715F849" w14:textId="5FD3295B" w:rsidR="00315519" w:rsidRDefault="00315519" w:rsidP="1D3CEB8C">
      <w:pPr>
        <w:pStyle w:val="BodyText"/>
        <w:rPr>
          <w:b/>
        </w:rPr>
      </w:pPr>
      <w:r>
        <w:rPr>
          <w:b/>
        </w:rPr>
        <w:t>Proposal 1:</w:t>
      </w:r>
    </w:p>
    <w:p w14:paraId="42E67C92" w14:textId="52C5FE41" w:rsidR="00315519" w:rsidRDefault="002C778B" w:rsidP="1D3CEB8C">
      <w:pPr>
        <w:pStyle w:val="BodyText"/>
        <w:rPr>
          <w:b/>
        </w:rPr>
      </w:pPr>
      <w:r>
        <w:rPr>
          <w:b/>
        </w:rPr>
        <w:t>T</w:t>
      </w:r>
      <w:r w:rsidR="00315519">
        <w:rPr>
          <w:b/>
        </w:rPr>
        <w:t>o use same test method for FR2 occupied bandwidth as for FR1.</w:t>
      </w:r>
    </w:p>
    <w:p w14:paraId="6CCA30F1" w14:textId="77777777" w:rsidR="00050FE9" w:rsidRDefault="00050FE9" w:rsidP="1D3CEB8C">
      <w:pPr>
        <w:pStyle w:val="BodyText"/>
        <w:rPr>
          <w:b/>
        </w:rPr>
      </w:pPr>
    </w:p>
    <w:bookmarkEnd w:id="0"/>
    <w:p w14:paraId="25199556" w14:textId="77777777" w:rsidR="00172F1C" w:rsidRDefault="1D3CEB8C" w:rsidP="00172F1C">
      <w:pPr>
        <w:pStyle w:val="Heading1"/>
        <w:numPr>
          <w:ilvl w:val="0"/>
          <w:numId w:val="4"/>
        </w:numPr>
        <w:ind w:hanging="720"/>
      </w:pPr>
      <w:r>
        <w:t>Conclusion</w:t>
      </w:r>
    </w:p>
    <w:p w14:paraId="3CAA0E51" w14:textId="7CFABEB0" w:rsidR="00CC6C18" w:rsidRDefault="00315519" w:rsidP="00CD0DCA">
      <w:pPr>
        <w:pStyle w:val="BodyText"/>
      </w:pPr>
      <w:r>
        <w:t>In this paper, we discuss the test method for FR2 occupied bandwidth and conclude that the test FR1 method could be re-used</w:t>
      </w:r>
      <w:r w:rsidR="002C778B">
        <w:t xml:space="preserve"> and propose the </w:t>
      </w:r>
      <w:r w:rsidR="005A70A5">
        <w:t>following</w:t>
      </w:r>
      <w:r>
        <w:t>.</w:t>
      </w:r>
    </w:p>
    <w:p w14:paraId="4DD1FB53" w14:textId="77777777" w:rsidR="00315519" w:rsidRDefault="00315519" w:rsidP="00315519">
      <w:pPr>
        <w:pStyle w:val="BodyText"/>
        <w:rPr>
          <w:b/>
        </w:rPr>
      </w:pPr>
      <w:r>
        <w:rPr>
          <w:b/>
        </w:rPr>
        <w:t>Proposal 1:</w:t>
      </w:r>
    </w:p>
    <w:p w14:paraId="0BA38270" w14:textId="2B6EB290" w:rsidR="00315519" w:rsidRDefault="002C778B" w:rsidP="00315519">
      <w:pPr>
        <w:pStyle w:val="BodyText"/>
        <w:rPr>
          <w:b/>
        </w:rPr>
      </w:pPr>
      <w:r>
        <w:rPr>
          <w:b/>
        </w:rPr>
        <w:t>T</w:t>
      </w:r>
      <w:r w:rsidR="00315519">
        <w:rPr>
          <w:b/>
        </w:rPr>
        <w:t>o use same test method for FR2 occupied bandwidth as for FR1.</w:t>
      </w:r>
    </w:p>
    <w:p w14:paraId="2E0D430C" w14:textId="77777777" w:rsidR="00315519" w:rsidRDefault="00315519" w:rsidP="00CD0DCA">
      <w:pPr>
        <w:pStyle w:val="BodyText"/>
      </w:pPr>
    </w:p>
    <w:p w14:paraId="42F707AB" w14:textId="77777777" w:rsidR="00172F1C" w:rsidRDefault="1D3CEB8C" w:rsidP="00A2750F">
      <w:pPr>
        <w:pStyle w:val="Heading1"/>
        <w:numPr>
          <w:ilvl w:val="0"/>
          <w:numId w:val="4"/>
        </w:numPr>
        <w:ind w:hanging="720"/>
      </w:pPr>
      <w:r>
        <w:t>References</w:t>
      </w:r>
    </w:p>
    <w:p w14:paraId="19EE0AE2" w14:textId="31A73FA0" w:rsidR="00865E7A" w:rsidRPr="00BC218A" w:rsidRDefault="008569C6" w:rsidP="00172F1C">
      <w:r w:rsidRPr="00C94F91">
        <w:t>[1]</w:t>
      </w:r>
      <w:r w:rsidR="006C68CB">
        <w:tab/>
      </w:r>
      <w:r w:rsidR="00CC6C18">
        <w:t>R4-180</w:t>
      </w:r>
      <w:r w:rsidR="00DA6A23">
        <w:t>2558</w:t>
      </w:r>
      <w:r w:rsidR="00CC6C18">
        <w:t>, “</w:t>
      </w:r>
      <w:r w:rsidR="00DA6A23">
        <w:rPr>
          <w:lang w:val="en-US" w:eastAsia="sv-SE"/>
        </w:rPr>
        <w:t>Synergies between eAAS and NR conformance</w:t>
      </w:r>
      <w:r w:rsidR="00CC6C18">
        <w:t>”, Ericsson</w:t>
      </w:r>
      <w:r w:rsidR="00DA6A23">
        <w:t>.</w:t>
      </w:r>
    </w:p>
    <w:p w14:paraId="6D5394BC" w14:textId="77777777" w:rsidR="0004295E" w:rsidRDefault="0004295E" w:rsidP="0004295E">
      <w:pPr>
        <w:ind w:left="720" w:hanging="720"/>
      </w:pPr>
    </w:p>
    <w:p w14:paraId="106AE6F0" w14:textId="77777777" w:rsidR="009E429C" w:rsidRPr="00172F1C" w:rsidRDefault="009E429C" w:rsidP="006C68CB">
      <w:pPr>
        <w:ind w:left="720" w:hanging="720"/>
      </w:pPr>
    </w:p>
    <w:sectPr w:rsidR="009E429C" w:rsidRPr="00172F1C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08515" w14:textId="77777777" w:rsidR="001E0D35" w:rsidRDefault="001E0D35">
      <w:r>
        <w:separator/>
      </w:r>
    </w:p>
  </w:endnote>
  <w:endnote w:type="continuationSeparator" w:id="0">
    <w:p w14:paraId="54636527" w14:textId="77777777" w:rsidR="001E0D35" w:rsidRDefault="001E0D35">
      <w:r>
        <w:continuationSeparator/>
      </w:r>
    </w:p>
  </w:endnote>
  <w:endnote w:type="continuationNotice" w:id="1">
    <w:p w14:paraId="37ED1DBC" w14:textId="77777777" w:rsidR="001E0D35" w:rsidRDefault="001E0D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33C3B" w14:textId="77777777" w:rsidR="001E0D35" w:rsidRDefault="001E0D35">
      <w:r>
        <w:separator/>
      </w:r>
    </w:p>
  </w:footnote>
  <w:footnote w:type="continuationSeparator" w:id="0">
    <w:p w14:paraId="32AFAAA7" w14:textId="77777777" w:rsidR="001E0D35" w:rsidRDefault="001E0D35">
      <w:r>
        <w:continuationSeparator/>
      </w:r>
    </w:p>
  </w:footnote>
  <w:footnote w:type="continuationNotice" w:id="1">
    <w:p w14:paraId="6882F30E" w14:textId="77777777" w:rsidR="001E0D35" w:rsidRDefault="001E0D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CD6757E"/>
    <w:multiLevelType w:val="hybridMultilevel"/>
    <w:tmpl w:val="FBDCF3F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 w15:restartNumberingAfterBreak="0">
    <w:nsid w:val="59891302"/>
    <w:multiLevelType w:val="hybridMultilevel"/>
    <w:tmpl w:val="1A325AE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9" w15:restartNumberingAfterBreak="0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10" w15:restartNumberingAfterBreak="0">
    <w:nsid w:val="7B8277B1"/>
    <w:multiLevelType w:val="hybridMultilevel"/>
    <w:tmpl w:val="12106F08"/>
    <w:lvl w:ilvl="0" w:tplc="6130E4A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8"/>
  </w:num>
  <w:num w:numId="6">
    <w:abstractNumId w:val="6"/>
  </w:num>
  <w:num w:numId="7">
    <w:abstractNumId w:val="9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E41"/>
    <w:rsid w:val="00000438"/>
    <w:rsid w:val="00036685"/>
    <w:rsid w:val="0004213C"/>
    <w:rsid w:val="0004295E"/>
    <w:rsid w:val="00050FE9"/>
    <w:rsid w:val="000530D2"/>
    <w:rsid w:val="00071F8A"/>
    <w:rsid w:val="00073E6B"/>
    <w:rsid w:val="00081DDD"/>
    <w:rsid w:val="000929DC"/>
    <w:rsid w:val="000C0F32"/>
    <w:rsid w:val="000E2BAA"/>
    <w:rsid w:val="000E7C28"/>
    <w:rsid w:val="000F2D80"/>
    <w:rsid w:val="000F7DCF"/>
    <w:rsid w:val="00100D8A"/>
    <w:rsid w:val="00102B60"/>
    <w:rsid w:val="00113FE4"/>
    <w:rsid w:val="00120FCD"/>
    <w:rsid w:val="0013145F"/>
    <w:rsid w:val="001324FF"/>
    <w:rsid w:val="00157A82"/>
    <w:rsid w:val="0016680D"/>
    <w:rsid w:val="00166FB2"/>
    <w:rsid w:val="00172F1C"/>
    <w:rsid w:val="001909AB"/>
    <w:rsid w:val="001C4716"/>
    <w:rsid w:val="001C4F32"/>
    <w:rsid w:val="001E0D35"/>
    <w:rsid w:val="001E6394"/>
    <w:rsid w:val="001F5EA2"/>
    <w:rsid w:val="001F60AC"/>
    <w:rsid w:val="00201F5F"/>
    <w:rsid w:val="00205DE1"/>
    <w:rsid w:val="0021322F"/>
    <w:rsid w:val="00224B2E"/>
    <w:rsid w:val="0024592D"/>
    <w:rsid w:val="002828B4"/>
    <w:rsid w:val="00296C4D"/>
    <w:rsid w:val="002975FC"/>
    <w:rsid w:val="002A4E0C"/>
    <w:rsid w:val="002B18B8"/>
    <w:rsid w:val="002C00CC"/>
    <w:rsid w:val="002C1E3A"/>
    <w:rsid w:val="002C778B"/>
    <w:rsid w:val="002D3296"/>
    <w:rsid w:val="002D3915"/>
    <w:rsid w:val="002E2D39"/>
    <w:rsid w:val="002E74F0"/>
    <w:rsid w:val="002E77BA"/>
    <w:rsid w:val="002F39E3"/>
    <w:rsid w:val="002F4018"/>
    <w:rsid w:val="00302FF8"/>
    <w:rsid w:val="0030504B"/>
    <w:rsid w:val="00305E7F"/>
    <w:rsid w:val="00315519"/>
    <w:rsid w:val="003362F5"/>
    <w:rsid w:val="00347447"/>
    <w:rsid w:val="00351C7B"/>
    <w:rsid w:val="00362A9B"/>
    <w:rsid w:val="00363F29"/>
    <w:rsid w:val="00371302"/>
    <w:rsid w:val="00381CEB"/>
    <w:rsid w:val="0038318C"/>
    <w:rsid w:val="00386740"/>
    <w:rsid w:val="003A4413"/>
    <w:rsid w:val="003C3AD3"/>
    <w:rsid w:val="003E56CF"/>
    <w:rsid w:val="003F635B"/>
    <w:rsid w:val="00400256"/>
    <w:rsid w:val="0041712C"/>
    <w:rsid w:val="00434927"/>
    <w:rsid w:val="004446A4"/>
    <w:rsid w:val="00457C90"/>
    <w:rsid w:val="0048224E"/>
    <w:rsid w:val="004833E4"/>
    <w:rsid w:val="00485B74"/>
    <w:rsid w:val="00492A63"/>
    <w:rsid w:val="004A4D30"/>
    <w:rsid w:val="004A71C9"/>
    <w:rsid w:val="004B75DA"/>
    <w:rsid w:val="004E6DA3"/>
    <w:rsid w:val="004F569E"/>
    <w:rsid w:val="004F6943"/>
    <w:rsid w:val="0051317C"/>
    <w:rsid w:val="00515917"/>
    <w:rsid w:val="00526F9E"/>
    <w:rsid w:val="00561AF3"/>
    <w:rsid w:val="00576E41"/>
    <w:rsid w:val="005914DF"/>
    <w:rsid w:val="00592750"/>
    <w:rsid w:val="005A1548"/>
    <w:rsid w:val="005A70A5"/>
    <w:rsid w:val="005B1502"/>
    <w:rsid w:val="005B28B4"/>
    <w:rsid w:val="005C4E6C"/>
    <w:rsid w:val="005C6E5E"/>
    <w:rsid w:val="005E269F"/>
    <w:rsid w:val="005E617A"/>
    <w:rsid w:val="005F7180"/>
    <w:rsid w:val="0060211F"/>
    <w:rsid w:val="00603BA5"/>
    <w:rsid w:val="00621B99"/>
    <w:rsid w:val="006336F4"/>
    <w:rsid w:val="00636220"/>
    <w:rsid w:val="006433AF"/>
    <w:rsid w:val="0064781D"/>
    <w:rsid w:val="00673D11"/>
    <w:rsid w:val="0069163F"/>
    <w:rsid w:val="006C4D79"/>
    <w:rsid w:val="006C68CB"/>
    <w:rsid w:val="006E420F"/>
    <w:rsid w:val="006F325E"/>
    <w:rsid w:val="00714BCD"/>
    <w:rsid w:val="00731C95"/>
    <w:rsid w:val="00736373"/>
    <w:rsid w:val="0074553D"/>
    <w:rsid w:val="00753EBD"/>
    <w:rsid w:val="007623F1"/>
    <w:rsid w:val="00771E3D"/>
    <w:rsid w:val="007721E1"/>
    <w:rsid w:val="0077262A"/>
    <w:rsid w:val="00792DB5"/>
    <w:rsid w:val="007B5932"/>
    <w:rsid w:val="007D610C"/>
    <w:rsid w:val="007D6FA3"/>
    <w:rsid w:val="007D714A"/>
    <w:rsid w:val="007E4133"/>
    <w:rsid w:val="008028B4"/>
    <w:rsid w:val="008272BF"/>
    <w:rsid w:val="00837A9B"/>
    <w:rsid w:val="00855168"/>
    <w:rsid w:val="0085548B"/>
    <w:rsid w:val="008569C6"/>
    <w:rsid w:val="00862F04"/>
    <w:rsid w:val="00865E7A"/>
    <w:rsid w:val="008670ED"/>
    <w:rsid w:val="008772A4"/>
    <w:rsid w:val="00882F02"/>
    <w:rsid w:val="00884424"/>
    <w:rsid w:val="00887567"/>
    <w:rsid w:val="00896617"/>
    <w:rsid w:val="008A2864"/>
    <w:rsid w:val="008B1C1E"/>
    <w:rsid w:val="008B290E"/>
    <w:rsid w:val="008B4965"/>
    <w:rsid w:val="008D7225"/>
    <w:rsid w:val="0092060A"/>
    <w:rsid w:val="009262F3"/>
    <w:rsid w:val="009319FF"/>
    <w:rsid w:val="00940151"/>
    <w:rsid w:val="00961D8E"/>
    <w:rsid w:val="009673B1"/>
    <w:rsid w:val="009673B4"/>
    <w:rsid w:val="0097610A"/>
    <w:rsid w:val="009808ED"/>
    <w:rsid w:val="00996B28"/>
    <w:rsid w:val="009A532B"/>
    <w:rsid w:val="009A5737"/>
    <w:rsid w:val="009B1075"/>
    <w:rsid w:val="009C0F53"/>
    <w:rsid w:val="009E429C"/>
    <w:rsid w:val="009E72E0"/>
    <w:rsid w:val="009F046A"/>
    <w:rsid w:val="009F750F"/>
    <w:rsid w:val="00A02753"/>
    <w:rsid w:val="00A10E60"/>
    <w:rsid w:val="00A2750F"/>
    <w:rsid w:val="00A409E0"/>
    <w:rsid w:val="00A42990"/>
    <w:rsid w:val="00A4593B"/>
    <w:rsid w:val="00A46D7C"/>
    <w:rsid w:val="00A677DF"/>
    <w:rsid w:val="00A86F99"/>
    <w:rsid w:val="00AA6F02"/>
    <w:rsid w:val="00AB21FD"/>
    <w:rsid w:val="00AB4A38"/>
    <w:rsid w:val="00AC253F"/>
    <w:rsid w:val="00AE74E8"/>
    <w:rsid w:val="00AF0B2B"/>
    <w:rsid w:val="00AF3B0F"/>
    <w:rsid w:val="00AF50CC"/>
    <w:rsid w:val="00B02041"/>
    <w:rsid w:val="00B33542"/>
    <w:rsid w:val="00B35563"/>
    <w:rsid w:val="00B379D3"/>
    <w:rsid w:val="00B408D8"/>
    <w:rsid w:val="00B56087"/>
    <w:rsid w:val="00B74FE5"/>
    <w:rsid w:val="00B87011"/>
    <w:rsid w:val="00B93628"/>
    <w:rsid w:val="00BC218A"/>
    <w:rsid w:val="00BC2891"/>
    <w:rsid w:val="00C071D3"/>
    <w:rsid w:val="00C15942"/>
    <w:rsid w:val="00C30717"/>
    <w:rsid w:val="00C31307"/>
    <w:rsid w:val="00C37498"/>
    <w:rsid w:val="00C40ADA"/>
    <w:rsid w:val="00C43F7F"/>
    <w:rsid w:val="00C43F94"/>
    <w:rsid w:val="00C70369"/>
    <w:rsid w:val="00C91D49"/>
    <w:rsid w:val="00C94F91"/>
    <w:rsid w:val="00CA5444"/>
    <w:rsid w:val="00CA67E3"/>
    <w:rsid w:val="00CB6478"/>
    <w:rsid w:val="00CC6C18"/>
    <w:rsid w:val="00CD0DCA"/>
    <w:rsid w:val="00CD0FAB"/>
    <w:rsid w:val="00CD5405"/>
    <w:rsid w:val="00CE1034"/>
    <w:rsid w:val="00CE23E4"/>
    <w:rsid w:val="00CE7B97"/>
    <w:rsid w:val="00CF44F4"/>
    <w:rsid w:val="00CF7492"/>
    <w:rsid w:val="00D11F31"/>
    <w:rsid w:val="00D22909"/>
    <w:rsid w:val="00D266DD"/>
    <w:rsid w:val="00D36627"/>
    <w:rsid w:val="00D409CA"/>
    <w:rsid w:val="00D44837"/>
    <w:rsid w:val="00D55EB9"/>
    <w:rsid w:val="00D60CB5"/>
    <w:rsid w:val="00D669C6"/>
    <w:rsid w:val="00D747CB"/>
    <w:rsid w:val="00D94DC2"/>
    <w:rsid w:val="00DA6A23"/>
    <w:rsid w:val="00DF03DE"/>
    <w:rsid w:val="00DF44E7"/>
    <w:rsid w:val="00E01AD4"/>
    <w:rsid w:val="00E11EDE"/>
    <w:rsid w:val="00E13AC6"/>
    <w:rsid w:val="00E14BEC"/>
    <w:rsid w:val="00E33914"/>
    <w:rsid w:val="00E81698"/>
    <w:rsid w:val="00E957C0"/>
    <w:rsid w:val="00EB4774"/>
    <w:rsid w:val="00EB5CAF"/>
    <w:rsid w:val="00EC1163"/>
    <w:rsid w:val="00ED5A4C"/>
    <w:rsid w:val="00ED5A7C"/>
    <w:rsid w:val="00EE301E"/>
    <w:rsid w:val="00EE67B8"/>
    <w:rsid w:val="00F06237"/>
    <w:rsid w:val="00F12015"/>
    <w:rsid w:val="00F13B42"/>
    <w:rsid w:val="00F165B4"/>
    <w:rsid w:val="00F408CF"/>
    <w:rsid w:val="00F53F7E"/>
    <w:rsid w:val="00F57E71"/>
    <w:rsid w:val="00F848BC"/>
    <w:rsid w:val="00F91C79"/>
    <w:rsid w:val="00FA04AD"/>
    <w:rsid w:val="00FB4D55"/>
    <w:rsid w:val="1D3CEB8C"/>
    <w:rsid w:val="3E6B95BA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0E01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CD0DCA"/>
    <w:pPr>
      <w:spacing w:after="120"/>
    </w:pPr>
  </w:style>
  <w:style w:type="character" w:customStyle="1" w:styleId="BodyTextChar">
    <w:name w:val="Body Text Char"/>
    <w:link w:val="BodyText"/>
    <w:uiPriority w:val="99"/>
    <w:rsid w:val="00CD0DCA"/>
    <w:rPr>
      <w:lang w:val="en-GB"/>
    </w:rPr>
  </w:style>
  <w:style w:type="character" w:styleId="CommentReference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071D3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C071D3"/>
    <w:rPr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E72E0"/>
    <w:rPr>
      <w:b/>
      <w:bCs/>
    </w:rPr>
  </w:style>
  <w:style w:type="character" w:customStyle="1" w:styleId="Heading4Char">
    <w:name w:val="Heading 4 Char"/>
    <w:link w:val="Heading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Normal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Normal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Normal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Heading5"/>
    <w:next w:val="Normal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Normal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List2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List3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List2">
    <w:name w:val="List 2"/>
    <w:basedOn w:val="Normal"/>
    <w:uiPriority w:val="99"/>
    <w:semiHidden/>
    <w:unhideWhenUsed/>
    <w:rsid w:val="00E13AC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E13AC6"/>
    <w:pPr>
      <w:ind w:left="849" w:hanging="283"/>
      <w:contextualSpacing/>
    </w:pPr>
  </w:style>
  <w:style w:type="paragraph" w:styleId="ListParagraph">
    <w:name w:val="List Paragraph"/>
    <w:basedOn w:val="Normal"/>
    <w:uiPriority w:val="34"/>
    <w:qFormat/>
    <w:rsid w:val="00D409CA"/>
    <w:pPr>
      <w:ind w:left="720"/>
      <w:contextualSpacing/>
    </w:pPr>
  </w:style>
  <w:style w:type="paragraph" w:customStyle="1" w:styleId="ZT">
    <w:name w:val="ZT"/>
    <w:rsid w:val="009E429C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633BF9E7EA5548B7A3A393212D6480" ma:contentTypeVersion="5" ma:contentTypeDescription="Create a new document." ma:contentTypeScope="" ma:versionID="2ab3deab35be6f162b950bbf862f2cc4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44d3fd06470d12e5ce405ce47c6fcedd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Aurelian Bria</DisplayName>
        <AccountId>117</AccountId>
        <AccountType/>
      </UserInfo>
      <UserInfo>
        <DisplayName>Elena Pucci</DisplayName>
        <AccountId>67</AccountId>
        <AccountType/>
      </UserInfo>
      <UserInfo>
        <DisplayName>Esther Sienkiewicz</DisplayName>
        <AccountId>47</AccountId>
        <AccountType/>
      </UserInfo>
      <UserInfo>
        <DisplayName>Rolf Sihlbom</DisplayName>
        <AccountId>12</AccountId>
        <AccountType/>
      </UserInfo>
      <UserInfo>
        <DisplayName>Sonya Demir</DisplayName>
        <AccountId>89</AccountId>
        <AccountType/>
      </UserInfo>
      <UserInfo>
        <DisplayName>Yu Yang U</DisplayName>
        <AccountId>93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F22A302-8DCB-445C-96C3-E93250F9E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0669E6-E6AB-437F-BC3A-28FF11CDAC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9F011B-B4CE-4033-8501-144600FDFD48}">
  <ds:schemaRefs>
    <ds:schemaRef ds:uri="http://schemas.microsoft.com/office/2006/metadata/properties"/>
    <ds:schemaRef ds:uri="http://schemas.microsoft.com/office/infopath/2007/PartnerControls"/>
    <ds:schemaRef ds:uri="8c206d83-9077-4838-a2dd-3d08ee9e6f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2018-02-19T14:03:00Z</dcterms:created>
  <dcterms:modified xsi:type="dcterms:W3CDTF">2018-02-19T20:36:00Z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</Properties>
</file>